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106</w:t>
      </w:r>
    </w:p>
    <w:p>
      <w:r>
        <w:t>Bundesgericht (BGE), 2021-12-14, IT</w:t>
      </w:r>
    </w:p>
    <w:p>
      <w:r>
        <w:rPr>
          <w:b/>
        </w:rPr>
        <w:t xml:space="preserve">Quelle: </w:t>
      </w:r>
      <w:r>
        <w:t>https://mcp.opencaselaw.ch/entscheid/bge_148 II 106</w:t>
      </w:r>
    </w:p>
    <w:p>
      <w:r>
        <w:t>FR: ATF 148 II 106</w:t>
      </w:r>
    </w:p>
    <w:p>
      <w:r>
        <w:t>IT: DTF 148 II 106</w:t>
      </w:r>
    </w:p>
    <w:p>
      <w:pPr>
        <w:pStyle w:val="Heading2"/>
      </w:pPr>
      <w:r>
        <w:t>Regeste</w:t>
      </w:r>
    </w:p>
    <w:p>
      <w:r>
        <w:t>Regeste Art. 45 und 45a des früheren Gesetzes über die öffentlichen Aufträge des Kantons Tessin vom 20. Februar 2001 (aGöA) und Art. 45a und 45b desselben derzeit in Kraft stehenden Gesetzes (GöA). Öffentliche Beschaffung: Geldstrafe nach Vergabe von Unteraufträgen ohne Genehmigung der Vergabebehörde; Art; Verjährung. Analoge Anwendung der Verjährungsfrist nach Art. 49a Abs. 3 lit. b KG. Darstellung der bestehenden vergaberechtlichen Sanktionen (E. 4.5.4.1). Sowohl nach dem früheren (Art. 45 und 45a aGöA; E. 4.5.1) als auch nach dem heute in Kraft stehenden kantonalen Recht (Art. 45a und 45b GöA; E. 4.5.2) stellt die streitige Geldstrafe eine Verwaltungssanktion dar. Erläuterung des neuen Bundes- und interkantonalen Rechts zu diesem Thema (E. 4.5.4.2, 4.5.4.3 und 4.5.4.4). Eine in einem Verwaltungsverfahren verhängte Geldstrafe ist als verwaltungsrechtliche und nicht als strafrechtliche Sanktion zu betrachten, auch wenn sie in ihren Wirkungen mit letzterer vergleichbar ist (E. 4.5.5). In Ermangelung einer ausdrücklichen Rechtsgrundlage (siehe dazu E. 4.3) hat das Kantonsgericht nicht willkürlich gehandelt, insofern es die in Art. 49a Abs. 3 lit. b KG vorgesehene Verjährungsfrist von fünf Jahren analog angewandt hat (E. 4.6) und die Frist ab Beendigung der durch die nicht genehmigten Subunternehmer ausgeführten Arbeiten laufen liess (E. 4.7).</w:t>
      </w:r>
    </w:p>
    <w:p>
      <w:pPr>
        <w:pStyle w:val="Heading2"/>
      </w:pPr>
      <w:r>
        <w:t>Volltext</w:t>
      </w:r>
    </w:p>
    <w:p>
      <w:r>
        <w:t>Urteilskopf 148 II 106 7. Estratto della sentenza della II Corte di diritto pubblico nella causa A.A. S.A.U. e B.A. SA contro Consiglio di Stato del Cantone Ticino (ricorso in materia di diritto pubblico) 2C_155/2021 / 2C_157/2021 del 14 dicembre 2021 Regeste Art. 45 und 45a des früheren Gesetzes über die öffentlichen Aufträge des Kantons Tessin vom 20. Februar 2001 (aGöA) und Art. 45a und 45b desselben derzeit in Kraft stehenden Gesetzes (GöA). Öffentliche Beschaffung: Geldstrafe nach Vergabe von Unteraufträgen ohne Genehmigung der Vergabebehörde; Art; Verjährung. Analoge Anwendung der Verjährungsfrist nach Art. 49a Abs. 3 lit. b KG . Darstellung der bestehenden vergaberechtlichen Sanktionen (E. 4.5.4.1). Sowohl nach dem früheren (Art. 45 und 45a aGöA; E. 4.5.1) als auch nach dem heute in Kraft stehenden kantonalen Recht (Art. 45a und 45b GöA; E. 4.5.2) stellt die streitige Geldstrafe eine Verwaltungssanktion dar. Erläuterung des neuen Bundes- und interkantonalen Rechts zu diesem Thema (E. 4.5.4.2, 4.5.4.3 und 4.5.4.4). Eine in einem Verwaltungsverfahren verhängte Geldstrafe ist als verwaltungsrechtliche und nicht als strafrechtliche Sanktion zu betrachten, auch wenn sie in ihren Wirkungen mit letzterer vergleichbar ist (E. 4.5.5). In Ermangelung einer ausdrücklichen Rechtsgrundlage (siehe dazu E. 4.3) hat das Kantonsgericht nicht willkürlich gehandelt, insofern es die in Art. 49a Abs. 3 lit. b KG vorgesehene Verjährungsfrist von fünf Jahren analog angewandt hat (E. 4.6) und die Frist ab Beendigung der durch die nicht genehmigten Subunternehmer ausgeführten Arbeiten laufen liess (E. 4.7). Sachverhalt ab Seite 108 BGE 148 II 106 S. 108 A. A.a L'8 febbraio 2008 il Municipio di X. ha indetto un pubblico concorso, retto dal Concordato intercantonale del 25 novembre 1994 sugli appalti pubblici, modificato il 15 marzo 2001 (CIAP; RL/TI 730.500) e impostato secondo la procedura selettiva per aggiudicare le opere da impresa generale concernenti l'edificazione della parte pubblica del C.; il bando è stato pubblicato sul Foglio ufficiale (FU) (...) Gli atti di gara prevedevano la facoltà di subappaltare parte dei lavori. In particolare era previsto che la sostituzione di un subappaltatore, segnatamente ad opera del deliberatario, deve essere sottoposta per approvazione al committente. A.b L'8 aprile 2009, il committente ha deliberato al Consorzio A., composto dalle ditte A.A. S.A.U., B.A. SA e D. SA e che aveva indicato 13 subappaltatori, le opere da impresa generale per un importo di fr. 128'687'614.-. Il 26 novembre 2009 il Comune di X. e il Consorzio A. hanno concluso il contratto di appalto che, fra le altre cose, riprendeva e specificava le clausole concorsuali in merito al subappalto, segnatamente che la sostituzione del subappaltatore, tra l'altro su iniziativa del deliberatario, in corso d'opera deve essere notificata e autorizzata dal committente. B. B.a Dopo un iter che non occorre qui rievocare, il 27 agosto 2014 l'allora Ufficio dei lavori sussidiati e degli appalti (ULSA, ora Ufficio di vigilanza sulle commesse pubbliche [UVCP]) ha notificato alle tre consorziate A.A. S.A.U., B.A. SA e D. SA (nel frattempo fallita) l'apertura nei loro confronti di un procedimento amministrativo per violazione delle normative legali vigenti in materia di appalti pubblici, più precisamente per subappalto non autorizzato dal committente di diverse opere sul cantiere, procedimento poi esteso il 9 luglio 2015 ad altri interventi. B.b Con decisione del 21 agosto 2019 il Consiglio di Stato ha escluso A.A. S.A.U. e B.A. SA dalla partecipazione a tutti gli appalti assoggettati alla legge del 20 febbraio 2001 sulle commesse pubbliche (LCPubb; RL/TI 730.100) o al CIAP per un periodo di 24 mesi e le ha condannate al pagamento di una pena pecuniaria di fr. 109'000.- ciascuna. BGE 148 II 106 S. 109 B.c Il 4 gennaio 2021 il Tribunale cantonale amministrativo, accogliendo parzialmente il ricorso delle due consorziate, ha annullato la loro esclusione dalla partecipazione a tutti i concorsi pubblici per 24 mesi ed ha ridotto le rispettive pene a fr. 100'000.- ciascuna. C. Il 12 febbraio 2021 A.A. S.A.U. (causa 2C_155/2021) e B.A. SA (causa 2C_157/2021), patrocinate dal medesimo avvocato, hanno inoltrato al Tribunale federale due distinti (ma nel tenore identici) ricorsi in materia di diritto pubblico, da trattare in subordine come ricorsi sussidiari in materia costituzionale, con i quali chiedono, tra l'altro, che anche la sanzione pecuniaria ridotta dal Tribunale cantonale amministrativo venga annullata. Dopo aver congiunto le cause il Tribunale federale, dichiarati inammissibili i ricorsi sussidiari in materia costituzionale, ha respinto, in quanto ammissibili, i ricorsi in materia di diritto pubblico. (riassunto) Erwägungen Dai considerandi: 4. 4.1 I ricorsi sollevano innanzitutto la questione della prescrizione dell'azione sanzionatoria del committente. In effetti, constatando che la legislazione in materia di commesse pubbliche non prevede termini di prescrizione e considerando che in simili circostanze il giudice debba fondarsi sulle norme stabilite dal legislatore in casi analoghi, il Tribunale cantonale amministrativo si è ispirato all'art. 49a cpv. 3 lett. b della legge federale del 6 ottobre 1995 sui cartelli e altre limitazioni della concorrenza (LCart; RS 251), che libera l'impresa che ha preso parte ad una limitazione della concorrenza da ogni sanzione se il comportamento illecito ha cessato di esplicare i suoi effetti da oltre cinque anni prima dell'apertura dell'inchiesta. A supporto della sua tesi, la precedente istanza ha fatto riferimento anche alla DTF 140 II 384 nella quale il Tribunale federale aveva preso in considerazione la medesima norma in relazione ad una sanzione amministrativa (pena pecuniaria) pronunciata nei confronti del gestore di un casinò per violazione degli obblighi di diligenza impostigli dalla legislazione in materia di case da gioco. I giudici cantonali hanno quindi concluso che la sanzione sarebbe stata prescritta se il comportamento illecito delle ricorrenti si fosse concluso da oltre cinque anni dall'avvio della procedura amministrativa, ciò che in concreto non era il caso, siccome i lavori effettuati dai subappaltatori senza la debita autorizzazione erano terminati al più BGE 148 II 106 S. 110 presto da dicembre 2012 in poi e le procedure amministrative nei confronti delle ricorrenti erano state aperte il 27 agosto 2014, rispettivamente il 9 luglio 2015. 4.2 Le ricorrenti sostengono che tale ragionamento violi gli artt. 5, 9 e 36 cpv. 3 Cost. In particolare, esse concordano con la constatazione dei giudici cantonali secondo cui la normativa cantonale in materia di appalti pubblici non disciplina la prescrizione dell'azione sanzionatoria intrapresa in applicazione dell'art. 45 vLCPubb (nella versione in vigore fino al 31 dicembre 2019, BU 2019, 218); tuttavia ravvisano nell'analogia da essi operata una violazione del divieto dell'arbitrio e della buona fede. A loro avviso questa deduzione non sarebbe sorretta da alcun valido appiglio e paragonerebbe tra loro fatti non pertinenti. Il tenore degli art. 45 cpv. 1 e 45b vLCPubb, come pure le considerazioni formulate dal Consiglio federale nell'ambito della revisione del diritto in materia di commesse pubbliche del 2019 avrebbero invece dovuto confermare la natura penale o quasi-penale della sanzione in questione e condurre di conseguenza " eo ipso " all'applicazione del termine di prescrizione di tre anni dettato dall'art. 3 della legge ticinese del 20 aprile 2010 di procedura per le contravvenzioni (RL/TI 311.100; in seguito: LPContr) - alla quale rinviava espressamente anche l'art. 45b cpv. 2 vLCPubb - e quindi in definitiva all' art. 109 CP . D'altro canto, secondo le ricorrenti, l' art. 49a cpv. 3 lett. b LCart non regolerebbe la prescrizione dell'azione, bensì i casi di esenzione da sanzione e questo quando il comportamento limitativo della concorrenza (ovvero l'atto illecito) è cessato 5 anni prima dell'apertura dell'inchiesta, ciò che avrebbe a loro avviso semmai dovuto indurre la precedente istanza a considerare come riferimento temporale non tanto la fine dei lavori effettuati in virtù del subappalto illecito, bensì il momento della conclusione del contratto di subappalto e della sua mancata notifica al committente: tali circostanze, che costituiscono l'atto illecito, risalirebbero all'aprile 2010, ossia ad oltre cinque anni dall'apertura del procedimento, che è avvenuta il 9 luglio 2015 quindi quando i 5 anni erano già trascorsi. 4.3 Un diritto si prescrive quando il suo titolare perde la facoltà di esigerne l'esecuzione forzata (THIERRY TANQUEREL, Manuel de droit administratif, 2 a ed. 2018, pag. 261). In diritto amministrativo non è raro che la prescrizione non sia espressamente disciplinata (PIERRE LOUIS MANFRINI, Les embûches de la prescription, in Le insidie della prescrizione, 2019, pagg. 101 segg., segnatamente pag. 103; THOMAS BGE 148 II 106 S. 111 MEIER, Verjährung und Verwirkung öffentlich-rechtlicher Forderungen, 2013, pag. 157). Il Tribunale federale ha nondimeno riconosciuto che, in quanto istituzione generale del diritto, il principio della prescrittibilità delle pretese di diritto pubblico si impone anche in assenza di una base legale esplicita in virtù dei principi della sicurezza del diritto e della buona fede, che appaiono irrinunciabili in uno Stato fondato sul diritto ( DTF 140 II 384 consid. 4.2; DTF 126 II 49 consid. 2a, DTF 126 II 54 consid. 7; DTF 125 V 396 consid. 3a e rispettivi riferimenti; HÄFELIN/MÜLLER/UHLMANN, Allgemeines Verwaltungsrecht, 8 a ed. 20, n. 764 segg.; TANQUEREL, op. cit., pag. 261). La prescrizione non si applica solo ai crediti pecuniari, ma anche al diritto di pronunciare una sanzione amministrativa avente carattere penale ( DTF 140 II 384 consid. 4.2). Nel silenzio del diritto positivo, è il giudice che deve decidere secondo la regola che egli adotterebbe come legislatore ( art. 1 cpv. 2 CC ), applicando per analogia il termine previsto da un'altra legge di diritto pubblico in una situazione assimilabile a quella che lo occupa o, se non ne esistono, facendo ricorso ai principi generali del diritto, segnatamente del diritto civile in materia di prescrizione ( DTF 140 II 384 consid. 4.2 con i relativi riferimenti giurisprudenziali e dottrinali). Trattandosi in particolare di pretese derivanti da atti illeciti, la dottrina e la giurisprudenza tendono ad ammettere che il termine vada di regola fissato in cinque anni ( DTF 126 II 54 consid. 7; DUBEY/ZUFFEREY, Droit administratif général, 2014, n. 1252; più in generale vedasi MEIER, op. cit., pagg. 158 segg.). 4.4 In concreto, come già sottolineato, applicando il diritto cantonale delle commesse pubbliche, il Tribunale cantonale amministrativo ha fatto ricorso per analogia all' art. 49a cpv. 3 lett. b LCart , ispirandosi alla soluzione che il Tribunale federale aveva trovato nella DTF 140 II 384 consid. 4.3 in relazione ad una pena pecuniaria pronunciata in virtù dell'art. 51 dell'ora abrogata legge federale del 18 dicembre 1998 sul gioco d'azzardo e sulle case da gioco (vLCG; RU 2018 5103 segnatamente 5145). Questa disposizione, intitolata "Sanzione amministrativa", prevedeva che al concessionario che commetteva a proprio vantaggio un'infrazione alla concessione o a una decisione passata in giudicato fosse addebitato un importo fino a tre volte il guadagno ottenuto con l'infrazione, oppure fino al 20 per cento del prodotto lordo dei giochi realizzato nell'ultimo anno d'esercizio. Il Tribunale federale ha ammesso che tale provvedimento andava considerato alla stregua di una BGE 148 II 106 S. 112 sanzione amministrativa con carattere penale ai sensi dell' art. 6 CEDU , poiché, oltre ad avere un effetto preventivo, possedeva una componente penale e repressiva che si rifletteva nel fatto che il relativo importo non si limitava alla confisca del provento dell'infrazione ma - in funzione della gravità dell'infrazione e della colpa - poteva essere ben più elevato ( DTF 140 II 384 consid. 3.2.2). Ha quindi giudicato che, stante la forte analogia che esso presentava con la sanzione di cui all' art. 49a LCart , la possibilità di adottare il provvedimento sanzionatorio in questione fosse prescritta se, al momento dell'avvio dell'inchiesta, il comportamento che doveva essere sanzionato era cessato da oltre cinque anni, come previsto appunto all' art. 49a cpv. 3 lett. b LCart ( DTF 140 II 384 consid. 4.3.1). Occorre quindi ora esaminare se la deduzione operata dal Tribunale amministrativo cantonale nel giudizio impugnato regga ad un esame sotto il profilo dell'arbitrio. 4.5 A tal fine, e sempre con un potere di cognizione limitato all'arbitrio, è opportuno dapprima analizzare se il provvedimento contestato dalla ricorrente possa effettivamente essere qualificato come sanzione amministrativa con carattere penale, alla stessa stregua della sanzione comminata dal diritto in materia di case da gioco nella sentenza evocata nonché dal diritto della concorrenza. 4.5.1 L'art. 45 vLCPubb, nella versione applicabile alla presente fattispecie, portava il titolo marginale "Sanzioni amministrative" e il suo primo capoverso era del seguente tenore: "In caso di gravi violazioni della presente legge, il Consiglio di Stato infligge una congrua pena pecuniaria e/o può escludere il contravventore da ogni aggiudicazione per un periodo massimo di 5 anni." Il secondo capoverso enumerava le fattispecie che configuravano gravi violazioni ai sensi del precedente capoverso; tra queste figurava anche il subappalto senza l'accordo del committente. Il terzo capoverso fissava il limite massimo della pena pecuniaria al 20 % del valore della commessa e il quarto capoverso disciplinava la pubblicazione delle decisioni di esclusione. D'altra parte, l'art. 45a vLCPubb, che portava il titolo marginale "Sanzioni al committente", comminava una multa sino ad un massimo di fr. 20'000.- per atti illeciti intenzionali commessi dai membri dell'autorità committente e dai suoi ausiliari (cpv. 1) e l'art. 45b vLCPubb stabiliva che per le contravvenzioni era applicabile la legge ticinese del 20 aprile 2010 di procedura per le contravvenzioni. BGE 148 II 106 S. 113 Questa formulazione era il frutto di una modifica della legge cantonale, entrata in vigore nel 2012, che intendeva rafforzare il sistema delle "sanzioni amministrative in caso di gravi violazioni della legge" introducendo nell'art. 45 vLCPubb "la possibilità di comminare una pena pecuniaria" accanto alla possibilità dell'esclusione da appalti futuri, già prevista dall'assetto preesistente (cfr. Messaggio del Consiglio di Stato n. 6455 dell'8 febbraio 2011 concernente la modifica dell'articolo 45 della Legge cantonale sulle commesse pubbliche relativo alle sanzioni amministrative, pag. 1). Con l'art. 45a vLCPubb, invece, è stata introdotta "la facoltà per il Consiglio di Stato di punire tramite contravvenzione i membri della committenza rei di aver violato le prescrizioni della legge" (Messaggio n. 6455 citato, pag. 2; corsivo aggiunto). L'art. 45b vLCPubb - che dal profilo sistematico risulta sotto il medesimo titolo marginale dell'art. 45a vLCPubb - si riferiva unicamente alle contravvenzioni comminate ai membri della committenza, ai quali (ma solo a loro, contrariamente a quanto sostengono le ricorrenti) si applicava la LPContr. 4.5.2 Il Tribunale federale ha già in passato statuito che la pena pecuniaria pronunciata in applicazione dell'art. 45 vLCPubb ha carattere amministrativo e ciò in ragione sia del titolo marginale della disposizione in questione ("Sanzioni amministrative"), sia del fatto che l'esclusione dai mercati pubblici futuri, che è contemplata dalla stessa disposizione quale misura alternativa o aggiuntiva, costituisce a sua volta una sanzione amministrativa; ha quindi scartato il ricorso in materia penale degli art. 78 segg. LTF ( DTF 140 I 252 consid. 1.1). A medesima conclusione era giunto rispetto all'ammenda che, in virtù della legge vodese sui mercati pubblici, può essere pronunciata in maniera cumulativa o alternativa alle altre sanzioni previste dalla legge cantonale, quali l'avvertimento o la revoca dell'aggiudicazione, l'esclusione da ogni nuovo mercato per una durata massima di cinque anni e l'esclusione dalla lista permanente degli offerenti qualificati. Il Tribunale federale aveva stabilito che, indipendentemente dal termine utilizzato - che può riferirsi tanto ad una sanzione di diritto amministrativo, quanto ad una sanzione di diritto penale - essa costituisce una misura amministrativa, come conferma anche il fatto che è pronunciata da un'autorità amministrativa e che, per di più, non può essere convertita in una pena privativa della libertà ( DTF 138 I 367 consid. 1). In quel contesto aveva ulteriormente precisato che una simile qualificazione non pregiudica l'applicabilità delle garanzie degli art. 6 e 7 CEDU anche alle sanzioni BGE 148 II 106 S. 114 del diritto delle commesse pubbliche, ove l'entità della sanzione sia tale da conferire loro carattere penale ( DTF 138 I 367 consid. 5.2). Questa Corte non vede ragioni fondate per scostarsi dalla propria giurisprudenza, che continua ad essere coerente non solo con la sistematica del diritto cantonale delle commesse pubbliche applicabile alla presente fattispecie (cfr. supra consid. 4.5.1), ma pure con la sua successiva modifica (cfr. infra consid. 4.5.3). Va peraltro rilevato che la qualifica del provvedimento litigioso alla stregua di una sanzione amministrativa è coerente pure con le categorizzazioni operate sia dalla nuova legislazione federale e intercantonale in materia di commesse pubbliche, sia dalla dottrina (cfr. infra consid. 4.5.4). Come si vedrà, in tutti questi ambiti, l'eventuale carattere penale del provvedimento ai sensi dell' art. 6 CEDU non ne cambia la natura di fondo amministrativa. 4.5.3 L'attuale LCPubb, profondamente rivista ed entrata in vigore il 1° gennaio 2020, ha riorganizzato le disposizioni relative all'impianto sanzionatorio come segue: l'art. 25 LCPubb, che già prevedeva l'esclusione dall'aggiudicazione della commessa oggetto della procedura degli offerenti che hanno adottato comportamenti contrari al diritto delle commesse pubbliche, ha aggiunto la possibilità di pronunciare la revoca di un'aggiudicazione già avvenuta. L'art. 45 vLCPubb, diventato l'art. 45a LCPubb, ha mantenuto il titolo marginale "Sanzioni amministrative", ha modificato la denominazione "pena pecuniaria" in "sanzione pecuniaria" ed ha ampliato la lista dei comportamenti passibili di una sanzione pecuniaria o di un'esclusione da appalti futuri. Inoltre un nuovo art. 45b LCPubb, che porta il titolo marginale "Sanzioni penali", al suo primo capoverso commina una multa fino a fr. 50'000.- per la commissione intenzionale da parte di membri sia del committente che degli aggiudicatari di una serie di atti illeciti particolarmente gravi e al secondo capoverso stabilisce che "[s]i applica la legge di procedura per le contravvenzioni del 20 aprile 2010 e la sanzione è di competenza del Consiglio di Stato". 4.5.4 4.5.4.1 D'altro canto, in generale, malgrado la mancanza d'uniformità nella terminologia utilizzata per indicare le varie tipologie di strumenti di vigilanza esistenti nel diritto amministrativo (HÄFELIN/MÜLLER/UHLMANN, op. cit., n. 1440 segg. pagg. 331 segg.; TOBIAS JAAG, Sanktionen, in Fachhandbuch Verwaltungsrecht: Expertenwissen BGE 148 II 106 S. 115 für die Praxis, 2015, pagg. 933 segg., segnatamente pagg. 936 segg.; TANQUEREL, op. cit., n. 1237 segg. pag. 419 seg.; DUBEY/ZUFFEREY, op. cit., n. 2243 segg.), nel diritto delle commesse pubbliche è sostanzialmente possibile individuare tre categorie di sanzioni: le misure amministrative intese a ripristinare la legalità e, indirettamente, anche a sanzionare la violazione di una prescrizione amministrativa ed a tutelare l'interesse pubblico minacciato; le sanzioni amministrative con carattere repressivo che, in ragione del loro effetto deterrente e punitivo, possono avere natura penale; ed infine le sanzioni penali in senso proprio (cfr., ad esempio, DIEBOLD/KELLER/ KREIS/TANNER, Aufsichtsinstrumente im revidierten Beschaffungsrecht, in Marchés publics, 2020, pagg. 315 segg.). Il nuovo diritto federale delle commesse pubbliche (segnatamente la legge federale del 21 giugno 2019 sugli appalti pubblici [LAPub], entrata in vigore il 1° gennaio 2021), che ha parallelamente comportato una riformulazione integrale del CIAP 2019 per quanto possibile armonizzata con la legge federale, ha rafforzato e sistematizzato l'impianto sanzionatorio del diritto delle commesse pubbliche in maniera più chiara e coerente con la tipizzazione appena evocata. Ancorché non direttamente applicabili alla fattispecie, ai fini della causa appare utile illustrarne le principali caratteristiche. 4.5.4.2 Da un lato, gli artt. 44 LAPub e 44 CIAP 2019 (che hanno identico tenore e sono intitolati "Esclusione dalla procedura e revoca dell'aggiudicazione") contemplano la possibilità di escludere un offerente dalla procedura di aggiudicazione, di radiarlo da un elenco o di revocare l'aggiudicazione. Si tratta di misure orientate al ripristino della legalità e quindi alla tutela immediata dell'interesse pubblico minacciato dal comportamento illecito dell'offerente, quindi di misure amministrative di natura restitutoria (DIEBOLD/ KELLER/KREIS/TANNER, op. cit., pag. 321 seg.; ASTRID WASER, Verschärfung der Sanktionen im Vergaberecht, in Jusletter del 28 settembre 2020, n. 5 segg.). Nella legge ticinese, misure corrispondenti sono previste all'art. 25 LCPubb (cfr. supra consid. 4.5.3). 4.5.4.3 D'altro lato, gli artt. 45 LAPub e 45 CIAP 2019 (intitolati "Sanzioni") prevedono l'esclusione da future commesse pubbliche per un periodo massimo di cinque anni o, nei casi meno gravi, l'ammonimento; è inoltre istituito un elenco centrale (non pubblico) degli offerenti e dei subappaltatori esclusi da future commesse pubbliche. Tali misure vanno qualificate come sanzioni amministrative intese a punire l'avvenuta violazione di determinati doveri da parte BGE 148 II 106 S. 116 dell'offerente (carattere repressivo), con l'obiettivo di evitare che questa si riproponga (effetto preventivo), senza per contro mirare a ristabilire la legalità (DIEBOLD/KELLER/KREIS/TANNER, op. cit., pag. 322 seg.; WASER, op. cit., n. 35). In virtù della loro incisività e della loro natura deterrente e punitiva, il legislatore ha inteso riconoscere a simili provvedimenti un carattere penale (cfr. Messaggio del Consiglio federale del 15 febbraio 2017 già citato, FF 2017 1587 segg.[" equivalgono alle sanzioni penali "; " haben strafähnlichen Charakter "; " sont comparables à des sanctions pénales "]. Per la dottrina si veda JAAG, op. cit., pag. 956; WASER, op. cit., n. 20 segg.; contra : DIEBOLD/KELLER/KREIS/TANNER, op. cit., n. 31, secondo i quali invece va qualificata quale misura disciplinare adottata nell'ambito della vigilanza sull'esercizio delle libere professioni, senza carattere penale, dato che l'esclusione dagli appalti futuri è addirittura meno grave del divieto di esercitare una professione che, in ambito finanziario, secondo la giurisprudenza del Tribunale federale [ DTF 142 II 243 consid. 3.4] costituisce, per sua natura e gravità, una misura dettata da motivi di polizia economica che restringe la libertà economica e non un'accusa di carattere penale ai sensi dell' art. 6 n. 1 CEDU ). Ciò nonostante, questi provvedimenti non costituiscono sanzioni penali in senso proprio ( strafrechtliche Sanktionen ; WASER, op. cit., n. 22); sono decisi da autorità amministrative, nel quadro di un procedimento amministrativo (KERSTIN NOËLLE VOKINGER, in Handkommentar zum Schweizerischen Beschaffungsrecht, 2020, n. 8 all' art. 45 LAPub e all' art. 45 CIAP ), ponendo tuttavia attenzione alle esigenze più elevate derivanti dall' art. 6 CEDU in materia processuale penale (JAAG, op. cit., pagg. 958 segg.). È proprio in ragione di tale loro carattere che il legislatore federale ha previsto che nei ricorsi contro simili sanzioni l'applicazione diretta delle disposizioni speciali della legislazione sugli appalti pubblici destinate a garantire la celerità dei procedimenti e la certezza del diritto non si giustifica (cfr. Messaggio già citato, FF 2017 1715; si veda anche MARTIN ZOBL, in Handkommentar zum Schweizerischen Beschaffungsrecht, 2020, n. 26 all' art. 53 LAPub e all' art. 53 CIAP ). Nella legge ticinese, misure analoghe sono previste all'art. 45a LCPubb (corrispondente all'art. 45 vLCPubb; cfr. supra consid. 4.5.3). 4.5.4.4 In aggiunta, rispetto alla nuova LApub che non la contempla, il nuovo art. 45 CIAP 2019 prevede poi il diritto per il committente di infliggere all'offerente o al subappaltatore inadempiente una "multa" fino al 10 % della somma dell'offerta. A prescindere BGE 148 II 106 S. 117 dalla sua denominazione ( amende ; Busse ) che richiama il diritto penale (vedasi l' art. 103 CP ) la multa, pronunciata in una procedura amministrativa, va considerata una sanzione amministrativa pecuniaria (DIEBOLD/KELLER/KREIS/TANNER, op. cit., n. 18 segg.; VOKINGER, op. cit., n. 5 e 8 all' art. 45 LAPub e all' art. 45 CIAP ; WASER, op. cit., n. 22) e non una sanzione del diritto penale, la quale viene invece emanata nel quadro di un procedimento penale (sulla difficile delimitazione tra i due istituti: DIEBOLD/RÜTSCHE/KELLER, Instrumente der laufenden Marktaufsicht, in 7. Forum für Verwaltungsrecht: staatliche Aufsicht über die Wirtschaft und ihre Akteure, 2019, pagg. 68 segg.). Certo, il carattere repressivo e di prevenzione generale di questa sanzione, come pure l'effetto incisivo che essa può esplicare sulla situazione finanziaria, se non sull'esistenza stessa dell'offerente sanzionato, la rendono analoga ad una sanzione penale, nei suoi effetti (si veda anche Revisione totale del Concordato intercantonale sugli appalti pubblici (CIAP) del 15 novembre 2019, Modello di messaggio del 16 gennaio 2020, pag. 110) e comportano quindi l'esigenza di applicare le garanzie minime fondamentali degli artt. 6 e 7 CEDU nonché degli artt. 30 e 32 Cost. ( DTF 140 II 384 consid. 3; DTF 139 I 72 consid. 2; WASER, op. cit., n. 20 segg.; della stessa opinione DIEBOLD/KELLER/KREIS/TANNER, op. cit., n. 32; con riferimento alle sanzioni analoghe in materia di diritto della concorrenza cfr., ad esempio, DTF 144 II 194 consid. 5.1). Ciò non significa tuttavia, come invece pretendono le ricorrenti, che essa debba essere considerata una sanzione penale, ritenuto anche che non ogni sanzione che non abbia un semplice effetto restitutorio o esecutorio, bensì repressivo, deve essere automaticamente qualificata come una sanzione penale ( DTF 147 I 57 consid. 4.3 con riferimenti dottrinali). Appare chiaro che la "pena pecuniaria" oggetto del presente ricorso, già prevista da diversi anni nel diritto ticinese in materia di commesse pubbliche ed ora denominata "sanzione pecuniaria" (supra consid. 4.5.3), debba essere attribuita a questa categoria di misure. 4.5.5 Occorre quindi concludere che il provvedimento contestato costituisce una sanzione amministrativa ( DTF 140 I 252 consid. 1.1) con carattere penale ma che, contrariamente a quanto sostengono le ricorrenti, per i motivi esposti in precedenza, il suo carattere penale non la rende automaticamente una contravvenzione ai sensi dell' art. 103 CP e non comporta quindi automaticamente l'applicabilità né della LPContr (cui rinvia l'art. 45b vLCPubb, ma solo per le BGE 148 II 106 S. 118 procedure di contravvenzione aperte nei confronti dei membri della committenza; cfr. supra consid. 4.5.1), né del termine di prescrizione di due anni previsto dall'art. 11 cpv. 1 della legge federale del 22 marzo 1974 sul diritto penale amministrativo federale (DPA; RS 313.0) per l'azione penale per le contravvenzioni. Su questo punto, i ricorsi si rivelano quindi infondati. 4.6 4.6.1 Assodato che la sanzione pecuniaria in questione debba essere qualificata alla stregua di una sanzione amministrativa con carattere penale, va ora esaminato se, come sostengono le ricorrenti, il ricorso analogico al termine di cinque anni previsto per l'azione sanzionatoria dell' art. 49a cpv. 3 lett. b LCart possa essere considerato arbitrario ( art. 9 Cost. ). Al riguardo va rammentato che una decisione è arbitraria quando è in manifesta contraddizione con la situazione di fatto, e gravemente lesiva di una norma o di un principio giuridico chiaro e indiscusso, oppure quando urta in modo scioccante il sentimento di giustizia ed equità ( DTF 144 I 170 consid. 7.3; DTF 141 III 564 consid. 4.1). La decisione deve inoltre essere arbitraria nel suo risultato e non solo nella sua motivazione. II semplice fatto che un'altra soluzione, diversa da quella adottata dall'autorità precedente, potrebbe entrare in linea di conto o sarebbe addirittura preferibile non costituisce arbitrio ( DTF 144 I 318 consid. 5.4, DTF 144 I 170 consid. 7.3, 113 consid. 7.1 e rispettivi riferimenti). 4.6.2 Come illustrato in precedenza (cfr. supra consid. 4.4), il Tribunale federale ha già stabilito che la sanzione amministrativa pecuniaria dell' art. 51 vLCG rientrava nel campo di applicazione delle garanzie procedurali penali dell' art. 6 n. 1 CEDU e che la sua natura, simile alla sanzione di cui all' art. 49a LCart , giustificava un'analogia tra queste due sanzioni amministrative con carattere penale ( DTF 140 II 384 consid. 3.2) anche per quanto riguarda la questione della prescrizione dell'azione ( DTF 140 II 384 consid. 4.3.1), sottolineando che comunque non sarebbe stata contestabile nemmeno l'applicazione del termine di prescrizione più lungo (sette anni) per le contravvenzioni di cui all' art. 57 cpv. 2 vLCG ( DTF 140 II 384 consid. 4.3.2). Invero, va precisato che la dottrina non è unanime sulla natura dell' art. 49a cpv. 3 lett. b LCart quale norma di prescrizione (si veda NIGGLI/RIEDO, Vorbemerkungen zu Art. 49a-53 KG in Basler Kommentar, Kartellegesetz, 2010, n. 163 segg. all' art. 49a LCart con ulteriori riferimenti dottrinali; TAGMANN/ZIRLICK, in Basler Kommentar, Kartellegesetz, 2010, n. 239 segg. all' art. 49a LCart ). BGE 148 II 106 S. 119 La questione non deve però essere risolta in questa sede, ritenuto che in casu questa Corte deve limitarsi ad esaminare se l'analogia a cui ha fatto ricorso il Tribunale cantonale amministrativo nel colmare una lacuna presente nel diritto cantonale delle commesse pubbliche sia, come affermano le ricorrenti, arbitraria. Ora, alla luce del fatto che, da un lato, la sanzione pecuniaria oggetto della presente procedura ha effettivamente una natura analoga a quella comminata dall' art. 49a LCart e che, d'altro lato, la giurisprudenza e la dottrina tendono in generale a considerare che, in assenza di disposizioni contrarie, il termine di prescrizione nel diritto amministrativo debba essere di cinque anni ( DTF 126 II 54 consid. 7; per la dottrina vedasi NIGGLI/RIEDO, op. cit., n. 164 segg. con i relativi riferimenti), occorre concludere che il ragionamento seguito dai giudici cantonali non è insostenibile né contrasta con il sentimento di giustizia ed equità. Quando le ricorrenti invocano l'analogia con la prescrizione triennale dell'azione penale in materia di diritto tributario cantonale o con la prescrizione biennale contemplata dall' art. 11 DPA si limitano invero ad opporre la loro opinione a quella dei giudici cantonali, senza tuttavia mostrarne il carattere arbitrario. Le impugnative vanno quindi respinte anche su questo punto. 4.7 4.7.1 Le ricorrenti censurano poi la modalità con cui il Tribunale cantonale amministrativo ha applicato il termine di cinque anni dedotto dall'applicazione analogica dell' art. 49a cpv. 3 lett. b LCart , in particolare il dies a quo della prescrizione dell'azione. A loro avviso, esso dovrebbe decorrere a partire dalla conclusione del contratto di subappalto, nell'aprile 2010, mentre i giudici cantonali l'hanno fatto partire dal momento in cui i lavori effettuati dai subappaltatori senza autorizzazione del committente sono stati portati a termine. 4.7.2 Le ricorrenti non possono essere seguite nemmeno su questo punto. In effetti, l' art. 49a cpv. 3 lett. b LCart fissa il decorso dei cinque anni a partire da quando "la limitazione della concorrenza ha cessato di esplicare i suoi effetti". I giudici cantonali hanno constatato ( art. 105 LTF ) che i lavori effettuati dai subappaltatori senza autorizzazione del committente sono stati portati a termine al più presto nel dicembre 2012 da una delle ditte subappaltatrici, successivamente dalle altre, ed hanno conseguentemente dedotto che al momento dell'apertura delle procedure amministrative nei confronti delle ricorrenti, avvenuta il 27 agosto 2014 e il 9 luglio 2015, il termine di 5 anni per l'azione sanzionatoria non era ancora scaduto. BGE 148 II 106 S. 120 Tale ragionamento non presta il fianco a critiche. D'altro canto, non trova fondamento nel testo legale l'opinione delle ricorrenti secondo cui sarebbe stato necessario considerare come riferimento temporale il momento della conclusione del contratto di subappalto di primo grado (cfr. supra lett. C) e della sua mancata notifica al committente, ovvero l'inizio dell'atto illecito.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